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6E7774" w14:textId="176B03A5" w:rsidR="00AF1807" w:rsidRPr="00AF1F6F" w:rsidRDefault="00AF1807" w:rsidP="00884011">
      <w:pPr>
        <w:widowControl w:val="0"/>
        <w:spacing w:line="276" w:lineRule="auto"/>
        <w:jc w:val="both"/>
        <w:rPr>
          <w:rFonts w:asciiTheme="majorHAnsi" w:hAnsiTheme="majorHAnsi" w:cstheme="majorHAnsi"/>
          <w:b/>
          <w:color w:val="87CDAB"/>
          <w:sz w:val="36"/>
          <w:szCs w:val="36"/>
        </w:rPr>
      </w:pPr>
      <w:r w:rsidRPr="00AF1F6F">
        <w:rPr>
          <w:rFonts w:asciiTheme="majorHAnsi" w:hAnsiTheme="majorHAnsi" w:cstheme="majorHAnsi"/>
          <w:b/>
          <w:noProof/>
          <w:color w:val="87CDAB"/>
          <w:sz w:val="36"/>
          <w:szCs w:val="36"/>
        </w:rPr>
        <w:drawing>
          <wp:inline distT="0" distB="0" distL="0" distR="0" wp14:anchorId="00AD26D6" wp14:editId="7F778C22">
            <wp:extent cx="5761984" cy="2872000"/>
            <wp:effectExtent l="0" t="0" r="0" b="5080"/>
            <wp:docPr id="4" name="Grafik 4">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l="6961" r="6961"/>
                    <a:stretch>
                      <a:fillRect/>
                    </a:stretch>
                  </pic:blipFill>
                  <pic:spPr bwMode="auto">
                    <a:xfrm>
                      <a:off x="0" y="0"/>
                      <a:ext cx="5761984" cy="2872000"/>
                    </a:xfrm>
                    <a:prstGeom prst="rect">
                      <a:avLst/>
                    </a:prstGeom>
                    <a:noFill/>
                    <a:ln>
                      <a:noFill/>
                    </a:ln>
                    <a:extLst>
                      <a:ext uri="{53640926-AAD7-44D8-BBD7-CCE9431645EC}">
                        <a14:shadowObscured xmlns:a14="http://schemas.microsoft.com/office/drawing/2010/main"/>
                      </a:ext>
                    </a:extLst>
                  </pic:spPr>
                </pic:pic>
              </a:graphicData>
            </a:graphic>
          </wp:inline>
        </w:drawing>
      </w:r>
    </w:p>
    <w:p w14:paraId="40F0F1F2" w14:textId="02A46D29" w:rsidR="00F359B1" w:rsidRPr="00906D8A" w:rsidRDefault="00F359B1" w:rsidP="00906D8A">
      <w:pPr>
        <w:widowControl w:val="0"/>
        <w:spacing w:line="276" w:lineRule="auto"/>
        <w:jc w:val="both"/>
        <w:rPr>
          <w:rFonts w:ascii="PT Sans" w:hAnsi="PT Sans" w:cstheme="majorHAnsi"/>
          <w:b/>
          <w:bCs/>
          <w:color w:val="A87480"/>
          <w:sz w:val="36"/>
          <w:szCs w:val="36"/>
        </w:rPr>
      </w:pPr>
      <w:r w:rsidRPr="00906D8A">
        <w:rPr>
          <w:rFonts w:ascii="PT Sans" w:hAnsi="PT Sans" w:cstheme="majorHAnsi"/>
          <w:b/>
          <w:bCs/>
          <w:color w:val="A87480"/>
          <w:sz w:val="36"/>
          <w:szCs w:val="36"/>
        </w:rPr>
        <w:t xml:space="preserve">Einfach digital: So </w:t>
      </w:r>
      <w:r w:rsidR="00B603B7" w:rsidRPr="00906D8A">
        <w:rPr>
          <w:rFonts w:ascii="PT Sans" w:hAnsi="PT Sans" w:cstheme="majorHAnsi"/>
          <w:b/>
          <w:bCs/>
          <w:color w:val="A87480"/>
          <w:sz w:val="36"/>
          <w:szCs w:val="36"/>
        </w:rPr>
        <w:t>lassen</w:t>
      </w:r>
      <w:r w:rsidRPr="00906D8A">
        <w:rPr>
          <w:rFonts w:ascii="PT Sans" w:hAnsi="PT Sans" w:cstheme="majorHAnsi"/>
          <w:b/>
          <w:bCs/>
          <w:color w:val="A87480"/>
          <w:sz w:val="36"/>
          <w:szCs w:val="36"/>
        </w:rPr>
        <w:t xml:space="preserve"> sich</w:t>
      </w:r>
      <w:r w:rsidR="00B603B7" w:rsidRPr="00906D8A">
        <w:rPr>
          <w:rFonts w:ascii="PT Sans" w:hAnsi="PT Sans" w:cstheme="majorHAnsi"/>
          <w:b/>
          <w:bCs/>
          <w:color w:val="A87480"/>
          <w:sz w:val="36"/>
          <w:szCs w:val="36"/>
        </w:rPr>
        <w:t xml:space="preserve"> Erstattungen</w:t>
      </w:r>
      <w:r w:rsidRPr="00906D8A">
        <w:rPr>
          <w:rFonts w:ascii="PT Sans" w:hAnsi="PT Sans" w:cstheme="majorHAnsi"/>
          <w:b/>
          <w:bCs/>
          <w:color w:val="A87480"/>
          <w:sz w:val="36"/>
          <w:szCs w:val="36"/>
        </w:rPr>
        <w:t xml:space="preserve"> für kieferorthopädische Leistungen </w:t>
      </w:r>
      <w:r w:rsidR="00546174" w:rsidRPr="00906D8A">
        <w:rPr>
          <w:rFonts w:ascii="PT Sans" w:hAnsi="PT Sans" w:cstheme="majorHAnsi"/>
          <w:b/>
          <w:bCs/>
          <w:color w:val="A87480"/>
          <w:sz w:val="36"/>
          <w:szCs w:val="36"/>
        </w:rPr>
        <w:t xml:space="preserve">intelligent </w:t>
      </w:r>
      <w:r w:rsidRPr="00906D8A">
        <w:rPr>
          <w:rFonts w:ascii="PT Sans" w:hAnsi="PT Sans" w:cstheme="majorHAnsi"/>
          <w:b/>
          <w:bCs/>
          <w:color w:val="A87480"/>
          <w:sz w:val="36"/>
          <w:szCs w:val="36"/>
        </w:rPr>
        <w:t>optimieren</w:t>
      </w:r>
    </w:p>
    <w:p w14:paraId="43B245CE" w14:textId="77777777" w:rsidR="00F359B1" w:rsidRPr="00F359B1" w:rsidRDefault="00F359B1" w:rsidP="00F359B1">
      <w:pPr>
        <w:widowControl w:val="0"/>
        <w:spacing w:line="276" w:lineRule="auto"/>
        <w:jc w:val="both"/>
        <w:rPr>
          <w:rFonts w:ascii="PT Sans" w:hAnsi="PT Sans" w:cstheme="majorHAnsi"/>
          <w:b/>
          <w:bCs/>
        </w:rPr>
      </w:pPr>
      <w:r w:rsidRPr="00F359B1">
        <w:rPr>
          <w:rFonts w:ascii="PT Sans" w:hAnsi="PT Sans" w:cstheme="majorHAnsi"/>
          <w:b/>
          <w:bCs/>
        </w:rPr>
        <w:t>Verbundprojekt von GKV Connect und atacama blooms ermöglicht einfache Rechnungs- und Formularverarbeitung für KFO-Leistungen</w:t>
      </w:r>
    </w:p>
    <w:p w14:paraId="63CBFC63" w14:textId="671519CB" w:rsidR="00F359B1" w:rsidRPr="00F359B1" w:rsidRDefault="00F359B1" w:rsidP="00F359B1">
      <w:pPr>
        <w:widowControl w:val="0"/>
        <w:spacing w:after="240" w:line="276" w:lineRule="auto"/>
        <w:jc w:val="both"/>
        <w:rPr>
          <w:rFonts w:ascii="PT Sans" w:hAnsi="PT Sans" w:cstheme="majorHAnsi"/>
        </w:rPr>
      </w:pPr>
      <w:r w:rsidRPr="00F359B1">
        <w:rPr>
          <w:rFonts w:ascii="PT Sans" w:hAnsi="PT Sans" w:cstheme="majorHAnsi"/>
        </w:rPr>
        <w:t xml:space="preserve">Mit dem Digitalen Rechnungsprozess Dental können Krankenkassen die Effizienz </w:t>
      </w:r>
      <w:r w:rsidR="00B603B7">
        <w:rPr>
          <w:rFonts w:ascii="PT Sans" w:hAnsi="PT Sans" w:cstheme="majorHAnsi"/>
        </w:rPr>
        <w:t>für die Erstattung von Eigenanteilen</w:t>
      </w:r>
      <w:r w:rsidRPr="00F359B1">
        <w:rPr>
          <w:rFonts w:ascii="PT Sans" w:hAnsi="PT Sans" w:cstheme="majorHAnsi"/>
        </w:rPr>
        <w:t xml:space="preserve"> im zahnärztlichen Bereich signifikant steigern. Das Verbundprojekt von GKV Connect und atacama blooms nutzt unter anderem AVIDOC</w:t>
      </w:r>
      <w:r w:rsidR="00AE404F">
        <w:rPr>
          <w:rFonts w:ascii="PT Sans" w:hAnsi="PT Sans" w:cstheme="majorHAnsi"/>
        </w:rPr>
        <w:t>®</w:t>
      </w:r>
      <w:r w:rsidRPr="00F359B1">
        <w:rPr>
          <w:rFonts w:ascii="PT Sans" w:hAnsi="PT Sans" w:cstheme="majorHAnsi"/>
        </w:rPr>
        <w:t>-R, die smarte Lösung zur einfachen Rechnungs- und Formularerkennung.</w:t>
      </w:r>
    </w:p>
    <w:p w14:paraId="0E49D14E" w14:textId="77777777" w:rsidR="00F359B1" w:rsidRPr="00F359B1" w:rsidRDefault="00F359B1" w:rsidP="00F359B1">
      <w:pPr>
        <w:widowControl w:val="0"/>
        <w:spacing w:line="276" w:lineRule="auto"/>
        <w:jc w:val="both"/>
        <w:rPr>
          <w:rFonts w:ascii="PT Sans" w:hAnsi="PT Sans" w:cstheme="majorHAnsi"/>
          <w:b/>
          <w:bCs/>
        </w:rPr>
      </w:pPr>
      <w:r w:rsidRPr="00F359B1">
        <w:rPr>
          <w:rFonts w:ascii="PT Sans" w:hAnsi="PT Sans" w:cstheme="majorHAnsi"/>
          <w:b/>
          <w:bCs/>
        </w:rPr>
        <w:t>Krankenkassen setzen auf Digitalisierung</w:t>
      </w:r>
    </w:p>
    <w:p w14:paraId="16A4F2BC" w14:textId="464523EE" w:rsidR="00F359B1" w:rsidRPr="00F359B1" w:rsidRDefault="00F359B1" w:rsidP="007A7596">
      <w:pPr>
        <w:widowControl w:val="0"/>
        <w:spacing w:after="240" w:line="276" w:lineRule="auto"/>
        <w:jc w:val="both"/>
        <w:rPr>
          <w:rFonts w:ascii="PT Sans" w:hAnsi="PT Sans" w:cstheme="majorHAnsi"/>
        </w:rPr>
      </w:pPr>
      <w:r w:rsidRPr="00F359B1">
        <w:rPr>
          <w:rFonts w:ascii="PT Sans" w:hAnsi="PT Sans" w:cstheme="majorHAnsi"/>
        </w:rPr>
        <w:t xml:space="preserve">Die </w:t>
      </w:r>
      <w:r w:rsidR="00B603B7">
        <w:rPr>
          <w:rFonts w:ascii="PT Sans" w:hAnsi="PT Sans" w:cstheme="majorHAnsi"/>
        </w:rPr>
        <w:t xml:space="preserve">Digitalisierung von Einreichungen der Versicherten </w:t>
      </w:r>
      <w:r w:rsidRPr="00F359B1">
        <w:rPr>
          <w:rFonts w:ascii="PT Sans" w:hAnsi="PT Sans" w:cstheme="majorHAnsi"/>
        </w:rPr>
        <w:t>ist bei vielen Krankenkassen noch kein Standard.</w:t>
      </w:r>
      <w:r w:rsidR="00B603B7">
        <w:rPr>
          <w:rFonts w:ascii="PT Sans" w:hAnsi="PT Sans" w:cstheme="majorHAnsi"/>
        </w:rPr>
        <w:t xml:space="preserve"> </w:t>
      </w:r>
      <w:r w:rsidRPr="00F359B1">
        <w:rPr>
          <w:rFonts w:ascii="PT Sans" w:hAnsi="PT Sans" w:cstheme="majorHAnsi"/>
        </w:rPr>
        <w:t xml:space="preserve">Mit Blick auf die Vorteile eines </w:t>
      </w:r>
      <w:r w:rsidR="00B603B7">
        <w:rPr>
          <w:rFonts w:ascii="PT Sans" w:hAnsi="PT Sans" w:cstheme="majorHAnsi"/>
        </w:rPr>
        <w:t xml:space="preserve">vollständig </w:t>
      </w:r>
      <w:r w:rsidRPr="00F359B1">
        <w:rPr>
          <w:rFonts w:ascii="PT Sans" w:hAnsi="PT Sans" w:cstheme="majorHAnsi"/>
        </w:rPr>
        <w:t>digitalen Prozesses</w:t>
      </w:r>
      <w:r w:rsidR="00B603B7">
        <w:rPr>
          <w:rFonts w:ascii="PT Sans" w:hAnsi="PT Sans" w:cstheme="majorHAnsi"/>
        </w:rPr>
        <w:t xml:space="preserve">, vor allem auch </w:t>
      </w:r>
      <w:r w:rsidR="00546174">
        <w:rPr>
          <w:rFonts w:ascii="PT Sans" w:hAnsi="PT Sans" w:cstheme="majorHAnsi"/>
        </w:rPr>
        <w:t>als</w:t>
      </w:r>
      <w:r w:rsidR="00B603B7">
        <w:rPr>
          <w:rFonts w:ascii="PT Sans" w:hAnsi="PT Sans" w:cstheme="majorHAnsi"/>
        </w:rPr>
        <w:t xml:space="preserve"> Service</w:t>
      </w:r>
      <w:r w:rsidR="00B8333C">
        <w:rPr>
          <w:rFonts w:ascii="PT Sans" w:hAnsi="PT Sans" w:cstheme="majorHAnsi"/>
        </w:rPr>
        <w:t xml:space="preserve"> </w:t>
      </w:r>
      <w:r w:rsidR="00546174">
        <w:rPr>
          <w:rFonts w:ascii="PT Sans" w:hAnsi="PT Sans" w:cstheme="majorHAnsi"/>
        </w:rPr>
        <w:t>für die</w:t>
      </w:r>
      <w:r w:rsidR="00B8333C">
        <w:rPr>
          <w:rFonts w:ascii="PT Sans" w:hAnsi="PT Sans" w:cstheme="majorHAnsi"/>
        </w:rPr>
        <w:t xml:space="preserve"> Versicherten,</w:t>
      </w:r>
      <w:r w:rsidRPr="00F359B1">
        <w:rPr>
          <w:rFonts w:ascii="PT Sans" w:hAnsi="PT Sans" w:cstheme="majorHAnsi"/>
        </w:rPr>
        <w:t xml:space="preserve"> entscheiden sich jedoch immer mehr Krankenkassen dafür</w:t>
      </w:r>
      <w:r w:rsidR="00546174">
        <w:rPr>
          <w:rFonts w:ascii="PT Sans" w:hAnsi="PT Sans" w:cstheme="majorHAnsi"/>
        </w:rPr>
        <w:t xml:space="preserve"> –</w:t>
      </w:r>
      <w:r w:rsidRPr="00F359B1">
        <w:rPr>
          <w:rFonts w:ascii="PT Sans" w:hAnsi="PT Sans" w:cstheme="majorHAnsi"/>
        </w:rPr>
        <w:t xml:space="preserve"> so auch die AOK Niedersachsen.</w:t>
      </w:r>
    </w:p>
    <w:p w14:paraId="2976FE01" w14:textId="2EDE8E72" w:rsidR="00F359B1" w:rsidRPr="00F359B1" w:rsidRDefault="00F359B1" w:rsidP="007A7596">
      <w:pPr>
        <w:widowControl w:val="0"/>
        <w:spacing w:after="240" w:line="276" w:lineRule="auto"/>
        <w:jc w:val="both"/>
        <w:rPr>
          <w:rFonts w:ascii="PT Sans" w:hAnsi="PT Sans" w:cstheme="majorHAnsi"/>
        </w:rPr>
      </w:pPr>
      <w:r w:rsidRPr="00F359B1">
        <w:rPr>
          <w:rFonts w:ascii="PT Sans" w:hAnsi="PT Sans" w:cstheme="majorHAnsi"/>
        </w:rPr>
        <w:t xml:space="preserve">Nach der Ausschreibung ihres Projekts zur Einführung eines digitalen Rechnungsprozesses fiel die Wahl auf GKV Connect und atacama blooms. Gemeinsam entwickelten die beiden Projektpartner ein System, mit </w:t>
      </w:r>
      <w:r w:rsidR="00546174">
        <w:rPr>
          <w:rFonts w:ascii="PT Sans" w:hAnsi="PT Sans" w:cstheme="majorHAnsi"/>
        </w:rPr>
        <w:t xml:space="preserve">dem </w:t>
      </w:r>
      <w:r w:rsidR="00B8333C">
        <w:rPr>
          <w:rFonts w:ascii="PT Sans" w:hAnsi="PT Sans" w:cstheme="majorHAnsi"/>
        </w:rPr>
        <w:t>Einreichungen des Versicherten</w:t>
      </w:r>
      <w:r w:rsidRPr="00F359B1">
        <w:rPr>
          <w:rFonts w:ascii="PT Sans" w:hAnsi="PT Sans" w:cstheme="majorHAnsi"/>
        </w:rPr>
        <w:t xml:space="preserve"> schneller digital erfasst</w:t>
      </w:r>
      <w:r w:rsidR="00B8333C">
        <w:rPr>
          <w:rFonts w:ascii="PT Sans" w:hAnsi="PT Sans" w:cstheme="majorHAnsi"/>
        </w:rPr>
        <w:t>, Dokumente voll automatisch organisiert, fehlende Dokumente angefragt</w:t>
      </w:r>
      <w:r w:rsidRPr="00F359B1">
        <w:rPr>
          <w:rFonts w:ascii="PT Sans" w:hAnsi="PT Sans" w:cstheme="majorHAnsi"/>
        </w:rPr>
        <w:t xml:space="preserve"> und </w:t>
      </w:r>
      <w:r w:rsidR="00B8333C">
        <w:rPr>
          <w:rFonts w:ascii="PT Sans" w:hAnsi="PT Sans" w:cstheme="majorHAnsi"/>
        </w:rPr>
        <w:t xml:space="preserve">anschließend wieder </w:t>
      </w:r>
      <w:r w:rsidRPr="00F359B1">
        <w:rPr>
          <w:rFonts w:ascii="PT Sans" w:hAnsi="PT Sans" w:cstheme="majorHAnsi"/>
        </w:rPr>
        <w:t>verarbeitet werden können. Dadurch l</w:t>
      </w:r>
      <w:r w:rsidR="00546174">
        <w:rPr>
          <w:rFonts w:ascii="PT Sans" w:hAnsi="PT Sans" w:cstheme="majorHAnsi"/>
        </w:rPr>
        <w:t>assen</w:t>
      </w:r>
      <w:r w:rsidRPr="00F359B1">
        <w:rPr>
          <w:rFonts w:ascii="PT Sans" w:hAnsi="PT Sans" w:cstheme="majorHAnsi"/>
        </w:rPr>
        <w:t xml:space="preserve"> sich</w:t>
      </w:r>
      <w:r w:rsidR="00B8333C">
        <w:rPr>
          <w:rFonts w:ascii="PT Sans" w:hAnsi="PT Sans" w:cstheme="majorHAnsi"/>
        </w:rPr>
        <w:t xml:space="preserve"> </w:t>
      </w:r>
      <w:r w:rsidR="00546174">
        <w:rPr>
          <w:rFonts w:ascii="PT Sans" w:hAnsi="PT Sans" w:cstheme="majorHAnsi"/>
        </w:rPr>
        <w:t xml:space="preserve">sowohl </w:t>
      </w:r>
      <w:r w:rsidR="00B8333C">
        <w:rPr>
          <w:rFonts w:ascii="PT Sans" w:hAnsi="PT Sans" w:cstheme="majorHAnsi"/>
        </w:rPr>
        <w:t>der Verwaltungsaufwand als auch</w:t>
      </w:r>
      <w:r w:rsidRPr="00F359B1">
        <w:rPr>
          <w:rFonts w:ascii="PT Sans" w:hAnsi="PT Sans" w:cstheme="majorHAnsi"/>
        </w:rPr>
        <w:t xml:space="preserve"> die </w:t>
      </w:r>
      <w:r w:rsidR="00B8333C">
        <w:rPr>
          <w:rFonts w:ascii="PT Sans" w:hAnsi="PT Sans" w:cstheme="majorHAnsi"/>
        </w:rPr>
        <w:t>Bearbeitungszeit von Erstattungen signifikant verkürzen.</w:t>
      </w:r>
    </w:p>
    <w:p w14:paraId="68981EB2" w14:textId="77777777" w:rsidR="004375C1" w:rsidRDefault="004375C1" w:rsidP="007A7596">
      <w:pPr>
        <w:widowControl w:val="0"/>
        <w:spacing w:line="276" w:lineRule="auto"/>
        <w:jc w:val="both"/>
        <w:rPr>
          <w:rFonts w:ascii="PT Sans" w:hAnsi="PT Sans" w:cstheme="majorHAnsi"/>
          <w:b/>
          <w:bCs/>
        </w:rPr>
      </w:pPr>
    </w:p>
    <w:p w14:paraId="43B1C62E" w14:textId="2847E139" w:rsidR="007A7596" w:rsidRPr="007A7596" w:rsidRDefault="007A7596" w:rsidP="007A7596">
      <w:pPr>
        <w:widowControl w:val="0"/>
        <w:spacing w:line="276" w:lineRule="auto"/>
        <w:jc w:val="both"/>
        <w:rPr>
          <w:rFonts w:ascii="PT Sans" w:hAnsi="PT Sans" w:cstheme="majorHAnsi"/>
          <w:b/>
          <w:bCs/>
        </w:rPr>
      </w:pPr>
      <w:r w:rsidRPr="007A7596">
        <w:rPr>
          <w:rFonts w:ascii="PT Sans" w:hAnsi="PT Sans" w:cstheme="majorHAnsi"/>
          <w:b/>
          <w:bCs/>
        </w:rPr>
        <w:lastRenderedPageBreak/>
        <w:t>Optimierung durch abgestimmte Datenaufbereitung</w:t>
      </w:r>
    </w:p>
    <w:p w14:paraId="7FDB9501" w14:textId="6CB02501" w:rsidR="007A7596" w:rsidRPr="007A7596" w:rsidRDefault="007A7596" w:rsidP="007A7596">
      <w:pPr>
        <w:widowControl w:val="0"/>
        <w:spacing w:line="276" w:lineRule="auto"/>
        <w:jc w:val="both"/>
        <w:rPr>
          <w:rFonts w:ascii="PT Sans" w:hAnsi="PT Sans" w:cstheme="majorHAnsi"/>
        </w:rPr>
      </w:pPr>
      <w:r w:rsidRPr="007A7596">
        <w:rPr>
          <w:rFonts w:ascii="PT Sans" w:hAnsi="PT Sans" w:cstheme="majorHAnsi"/>
        </w:rPr>
        <w:t xml:space="preserve">„Als Kieferorthopäde kenne ich die Problematik bei der Rechnungsverarbeitung von kieferorthopädischen Leistungen selbst nur zu gut“, erklärt Dr. Michael </w:t>
      </w:r>
      <w:proofErr w:type="spellStart"/>
      <w:r w:rsidRPr="007A7596">
        <w:rPr>
          <w:rFonts w:ascii="PT Sans" w:hAnsi="PT Sans" w:cstheme="majorHAnsi"/>
        </w:rPr>
        <w:t>Visse</w:t>
      </w:r>
      <w:proofErr w:type="spellEnd"/>
      <w:r w:rsidRPr="007A7596">
        <w:rPr>
          <w:rFonts w:ascii="PT Sans" w:hAnsi="PT Sans" w:cstheme="majorHAnsi"/>
        </w:rPr>
        <w:t xml:space="preserve">. Er ist Gründer der </w:t>
      </w:r>
      <w:proofErr w:type="spellStart"/>
      <w:r w:rsidRPr="007A7596">
        <w:rPr>
          <w:rFonts w:ascii="PT Sans" w:hAnsi="PT Sans" w:cstheme="majorHAnsi"/>
        </w:rPr>
        <w:t>iie</w:t>
      </w:r>
      <w:proofErr w:type="spellEnd"/>
      <w:r w:rsidRPr="007A7596">
        <w:rPr>
          <w:rFonts w:ascii="PT Sans" w:hAnsi="PT Sans" w:cstheme="majorHAnsi"/>
        </w:rPr>
        <w:t xml:space="preserve"> </w:t>
      </w:r>
      <w:proofErr w:type="spellStart"/>
      <w:r w:rsidRPr="007A7596">
        <w:rPr>
          <w:rFonts w:ascii="PT Sans" w:hAnsi="PT Sans" w:cstheme="majorHAnsi"/>
        </w:rPr>
        <w:t>systems</w:t>
      </w:r>
      <w:proofErr w:type="spellEnd"/>
      <w:r w:rsidRPr="007A7596">
        <w:rPr>
          <w:rFonts w:ascii="PT Sans" w:hAnsi="PT Sans" w:cstheme="majorHAnsi"/>
        </w:rPr>
        <w:t xml:space="preserve"> GmbH, Muttergesellschaft der GKV Connect. „Mit dem Projekt haben wir den Rechnungsprozess durch eine abgestimmte Datenaufbereitung nun weiter optimiert.“</w:t>
      </w:r>
    </w:p>
    <w:p w14:paraId="25F04DB6" w14:textId="554303C0" w:rsidR="007A7596" w:rsidRPr="007A7596" w:rsidRDefault="002E1F71" w:rsidP="007A7596">
      <w:pPr>
        <w:widowControl w:val="0"/>
        <w:spacing w:line="276" w:lineRule="auto"/>
        <w:jc w:val="both"/>
        <w:rPr>
          <w:rFonts w:ascii="PT Sans" w:hAnsi="PT Sans" w:cstheme="majorHAnsi"/>
        </w:rPr>
      </w:pPr>
      <w:r>
        <w:rPr>
          <w:rFonts w:ascii="PT Sans" w:hAnsi="PT Sans" w:cstheme="majorHAnsi"/>
        </w:rPr>
        <w:t>GKV Connect sammelt alle relevanten Daten</w:t>
      </w:r>
      <w:r w:rsidR="009F5895" w:rsidRPr="009F5895">
        <w:rPr>
          <w:rFonts w:ascii="PT Sans" w:hAnsi="PT Sans" w:cstheme="majorHAnsi"/>
        </w:rPr>
        <w:t xml:space="preserve"> </w:t>
      </w:r>
      <w:r w:rsidR="009F5895">
        <w:rPr>
          <w:rFonts w:ascii="PT Sans" w:hAnsi="PT Sans" w:cstheme="majorHAnsi"/>
        </w:rPr>
        <w:t>zusammen</w:t>
      </w:r>
      <w:r>
        <w:rPr>
          <w:rFonts w:ascii="PT Sans" w:hAnsi="PT Sans" w:cstheme="majorHAnsi"/>
        </w:rPr>
        <w:t>, digital oder als Scan</w:t>
      </w:r>
      <w:r w:rsidR="007A7596" w:rsidRPr="007A7596">
        <w:rPr>
          <w:rFonts w:ascii="PT Sans" w:hAnsi="PT Sans" w:cstheme="majorHAnsi"/>
        </w:rPr>
        <w:t xml:space="preserve">. Das Unternehmen verarbeitet </w:t>
      </w:r>
      <w:r>
        <w:rPr>
          <w:rFonts w:ascii="PT Sans" w:hAnsi="PT Sans" w:cstheme="majorHAnsi"/>
        </w:rPr>
        <w:t>und organisiert die Dokumente</w:t>
      </w:r>
      <w:r w:rsidR="007A7596" w:rsidRPr="007A7596">
        <w:rPr>
          <w:rFonts w:ascii="PT Sans" w:hAnsi="PT Sans" w:cstheme="majorHAnsi"/>
        </w:rPr>
        <w:t xml:space="preserve"> und schickt </w:t>
      </w:r>
      <w:r>
        <w:rPr>
          <w:rFonts w:ascii="PT Sans" w:hAnsi="PT Sans" w:cstheme="majorHAnsi"/>
        </w:rPr>
        <w:t xml:space="preserve">ein vollständiges, valides </w:t>
      </w:r>
      <w:r w:rsidR="007A7596" w:rsidRPr="007A7596">
        <w:rPr>
          <w:rFonts w:ascii="PT Sans" w:hAnsi="PT Sans" w:cstheme="majorHAnsi"/>
        </w:rPr>
        <w:t xml:space="preserve">Datenpaket zurück an die Krankenkasse. Die </w:t>
      </w:r>
      <w:r>
        <w:rPr>
          <w:rFonts w:ascii="PT Sans" w:hAnsi="PT Sans" w:cstheme="majorHAnsi"/>
        </w:rPr>
        <w:t>E</w:t>
      </w:r>
      <w:r w:rsidR="007A7596" w:rsidRPr="007A7596">
        <w:rPr>
          <w:rFonts w:ascii="PT Sans" w:hAnsi="PT Sans" w:cstheme="majorHAnsi"/>
        </w:rPr>
        <w:t xml:space="preserve">rkennung und </w:t>
      </w:r>
      <w:r>
        <w:rPr>
          <w:rFonts w:ascii="PT Sans" w:hAnsi="PT Sans" w:cstheme="majorHAnsi"/>
        </w:rPr>
        <w:t>Datenextraktion aus gescannten Dokumenten</w:t>
      </w:r>
      <w:r w:rsidR="007A7596" w:rsidRPr="007A7596">
        <w:rPr>
          <w:rFonts w:ascii="PT Sans" w:hAnsi="PT Sans" w:cstheme="majorHAnsi"/>
        </w:rPr>
        <w:t xml:space="preserve"> übernimmt </w:t>
      </w:r>
      <w:r w:rsidR="007A7596" w:rsidRPr="009F5895">
        <w:rPr>
          <w:rFonts w:ascii="PT Sans" w:hAnsi="PT Sans" w:cstheme="majorHAnsi"/>
        </w:rPr>
        <w:t>dabei</w:t>
      </w:r>
      <w:r w:rsidR="007A7596" w:rsidRPr="007A7596">
        <w:rPr>
          <w:rFonts w:ascii="PT Sans" w:hAnsi="PT Sans" w:cstheme="majorHAnsi"/>
        </w:rPr>
        <w:t xml:space="preserve"> AVIDOC</w:t>
      </w:r>
      <w:r w:rsidR="00AE404F">
        <w:rPr>
          <w:rFonts w:ascii="PT Sans" w:hAnsi="PT Sans" w:cstheme="majorHAnsi"/>
        </w:rPr>
        <w:t>®</w:t>
      </w:r>
      <w:r w:rsidR="007A7596" w:rsidRPr="007A7596">
        <w:rPr>
          <w:rFonts w:ascii="PT Sans" w:hAnsi="PT Sans" w:cstheme="majorHAnsi"/>
        </w:rPr>
        <w:t xml:space="preserve">-R </w:t>
      </w:r>
      <w:r w:rsidRPr="007A7596">
        <w:rPr>
          <w:rFonts w:ascii="PT Sans" w:hAnsi="PT Sans" w:cstheme="majorHAnsi"/>
        </w:rPr>
        <w:t>von atacama blooms</w:t>
      </w:r>
      <w:r>
        <w:rPr>
          <w:rFonts w:ascii="PT Sans" w:hAnsi="PT Sans" w:cstheme="majorHAnsi"/>
        </w:rPr>
        <w:t xml:space="preserve"> mit Hilfe von KI-Technologie</w:t>
      </w:r>
      <w:r w:rsidR="007A7596" w:rsidRPr="007A7596">
        <w:rPr>
          <w:rFonts w:ascii="PT Sans" w:hAnsi="PT Sans" w:cstheme="majorHAnsi"/>
        </w:rPr>
        <w:t xml:space="preserve">. </w:t>
      </w:r>
    </w:p>
    <w:p w14:paraId="111295A1" w14:textId="77777777" w:rsidR="007A7596" w:rsidRPr="007A7596" w:rsidRDefault="007A7596" w:rsidP="007A7596">
      <w:pPr>
        <w:widowControl w:val="0"/>
        <w:spacing w:line="276" w:lineRule="auto"/>
        <w:jc w:val="both"/>
        <w:rPr>
          <w:rFonts w:ascii="PT Sans" w:hAnsi="PT Sans" w:cstheme="majorHAnsi"/>
          <w:b/>
          <w:bCs/>
        </w:rPr>
      </w:pPr>
      <w:r w:rsidRPr="007A7596">
        <w:rPr>
          <w:rFonts w:ascii="PT Sans" w:hAnsi="PT Sans" w:cstheme="majorHAnsi"/>
          <w:b/>
          <w:bCs/>
        </w:rPr>
        <w:t>Einfach und schnell digitalisieren mit AVIDOC-R</w:t>
      </w:r>
    </w:p>
    <w:p w14:paraId="3BBB5F8A" w14:textId="77DD455E" w:rsidR="007A7596" w:rsidRPr="007A7596" w:rsidRDefault="007A7596" w:rsidP="007A7596">
      <w:pPr>
        <w:widowControl w:val="0"/>
        <w:spacing w:line="276" w:lineRule="auto"/>
        <w:jc w:val="both"/>
        <w:rPr>
          <w:rFonts w:ascii="PT Sans" w:hAnsi="PT Sans" w:cstheme="majorHAnsi"/>
        </w:rPr>
      </w:pPr>
      <w:r w:rsidRPr="007A7596">
        <w:rPr>
          <w:rFonts w:ascii="PT Sans" w:hAnsi="PT Sans" w:cstheme="majorHAnsi"/>
        </w:rPr>
        <w:t>AVIDOC</w:t>
      </w:r>
      <w:r w:rsidR="00AE404F">
        <w:rPr>
          <w:rFonts w:ascii="PT Sans" w:hAnsi="PT Sans" w:cstheme="majorHAnsi"/>
        </w:rPr>
        <w:t>®</w:t>
      </w:r>
      <w:r w:rsidRPr="007A7596">
        <w:rPr>
          <w:rFonts w:ascii="PT Sans" w:hAnsi="PT Sans" w:cstheme="majorHAnsi"/>
        </w:rPr>
        <w:t xml:space="preserve">-R ist </w:t>
      </w:r>
      <w:r w:rsidR="0039762F">
        <w:rPr>
          <w:rFonts w:ascii="PT Sans" w:hAnsi="PT Sans" w:cstheme="majorHAnsi"/>
        </w:rPr>
        <w:t>eine</w:t>
      </w:r>
      <w:r w:rsidRPr="007A7596">
        <w:rPr>
          <w:rFonts w:ascii="PT Sans" w:hAnsi="PT Sans" w:cstheme="majorHAnsi"/>
        </w:rPr>
        <w:t xml:space="preserve"> Komplettlösung für Unternehmen, die </w:t>
      </w:r>
      <w:r w:rsidR="0039762F">
        <w:rPr>
          <w:rFonts w:ascii="PT Sans" w:hAnsi="PT Sans" w:cstheme="majorHAnsi"/>
        </w:rPr>
        <w:t xml:space="preserve">eine </w:t>
      </w:r>
      <w:r w:rsidRPr="007A7596">
        <w:rPr>
          <w:rFonts w:ascii="PT Sans" w:hAnsi="PT Sans" w:cstheme="majorHAnsi"/>
        </w:rPr>
        <w:t xml:space="preserve">große Menge an Dokumenten digitalisieren und verarbeiten müssen. Die automatische Validierung und Formatierung der ausgelesenen Daten sichern hierbei die Verlässlichkeit der Datensätze. Gleichzeitig ermöglichen sie eine schnelle Nachkorrektur über den bedienfreundlichen Bildschirm. </w:t>
      </w:r>
    </w:p>
    <w:p w14:paraId="2455EF27" w14:textId="4C31151D" w:rsidR="007A7596" w:rsidRPr="007A7596" w:rsidRDefault="007A7596" w:rsidP="007A7596">
      <w:pPr>
        <w:widowControl w:val="0"/>
        <w:spacing w:line="276" w:lineRule="auto"/>
        <w:jc w:val="both"/>
        <w:rPr>
          <w:rFonts w:ascii="PT Sans" w:hAnsi="PT Sans" w:cstheme="majorHAnsi"/>
        </w:rPr>
      </w:pPr>
      <w:r w:rsidRPr="007A7596">
        <w:rPr>
          <w:rFonts w:ascii="PT Sans" w:hAnsi="PT Sans" w:cstheme="majorHAnsi"/>
        </w:rPr>
        <w:t>„</w:t>
      </w:r>
      <w:r w:rsidR="002E1F71">
        <w:rPr>
          <w:rFonts w:ascii="PT Sans" w:hAnsi="PT Sans" w:cstheme="majorHAnsi"/>
        </w:rPr>
        <w:t>Dokumente unterschiedlichster Art</w:t>
      </w:r>
      <w:r w:rsidRPr="007A7596">
        <w:rPr>
          <w:rFonts w:ascii="PT Sans" w:hAnsi="PT Sans" w:cstheme="majorHAnsi"/>
        </w:rPr>
        <w:t xml:space="preserve"> können so schneller verarbeitet und Prozesse optimiert werden“, erklärt </w:t>
      </w:r>
      <w:r w:rsidR="009F5895">
        <w:rPr>
          <w:rFonts w:ascii="PT Sans" w:hAnsi="PT Sans" w:cstheme="majorHAnsi"/>
        </w:rPr>
        <w:t>Sebastian Zebbities, Geschäftsführer</w:t>
      </w:r>
      <w:r w:rsidRPr="007A7596">
        <w:rPr>
          <w:rFonts w:ascii="PT Sans" w:hAnsi="PT Sans" w:cstheme="majorHAnsi"/>
        </w:rPr>
        <w:t xml:space="preserve"> von atacama blooms. „Krankenkassen können dadurch enorme Verwaltungskosten einsparen, </w:t>
      </w:r>
      <w:r w:rsidR="002E1F71">
        <w:rPr>
          <w:rFonts w:ascii="PT Sans" w:hAnsi="PT Sans" w:cstheme="majorHAnsi"/>
        </w:rPr>
        <w:t xml:space="preserve">auch wenn sie komplexere Dokumente </w:t>
      </w:r>
      <w:r w:rsidRPr="007A7596">
        <w:rPr>
          <w:rFonts w:ascii="PT Sans" w:hAnsi="PT Sans" w:cstheme="majorHAnsi"/>
        </w:rPr>
        <w:t>verarbeiten.“</w:t>
      </w:r>
    </w:p>
    <w:p w14:paraId="0FC466F7" w14:textId="27076F6A" w:rsidR="007A7596" w:rsidRPr="007A7596" w:rsidRDefault="007A7596" w:rsidP="007A7596">
      <w:pPr>
        <w:widowControl w:val="0"/>
        <w:spacing w:line="276" w:lineRule="auto"/>
        <w:jc w:val="both"/>
        <w:rPr>
          <w:rFonts w:ascii="PT Sans" w:hAnsi="PT Sans" w:cstheme="majorHAnsi"/>
        </w:rPr>
      </w:pPr>
      <w:r w:rsidRPr="007A7596">
        <w:rPr>
          <w:rFonts w:ascii="PT Sans" w:hAnsi="PT Sans" w:cstheme="majorHAnsi"/>
        </w:rPr>
        <w:t>Die Lösung ist seit dem 1. Oktober 2021 produktiv bei der AOK Niedersachen im Einsatz. Erfahren Sie mehr zu AVIDOC</w:t>
      </w:r>
      <w:r w:rsidR="00AE404F">
        <w:rPr>
          <w:rFonts w:ascii="PT Sans" w:hAnsi="PT Sans" w:cstheme="majorHAnsi"/>
        </w:rPr>
        <w:t>®</w:t>
      </w:r>
      <w:r w:rsidRPr="007A7596">
        <w:rPr>
          <w:rFonts w:ascii="PT Sans" w:hAnsi="PT Sans" w:cstheme="majorHAnsi"/>
        </w:rPr>
        <w:t xml:space="preserve">-R unter </w:t>
      </w:r>
      <w:hyperlink r:id="rId10" w:history="1">
        <w:r w:rsidR="00A71800" w:rsidRPr="00E35F90">
          <w:rPr>
            <w:rStyle w:val="Hyperlink"/>
          </w:rPr>
          <w:t>https://www.avidoc-r.de</w:t>
        </w:r>
      </w:hyperlink>
      <w:r w:rsidR="00A71800">
        <w:t xml:space="preserve"> </w:t>
      </w:r>
      <w:r w:rsidRPr="007A7596">
        <w:rPr>
          <w:rFonts w:ascii="PT Sans" w:hAnsi="PT Sans" w:cstheme="majorHAnsi"/>
        </w:rPr>
        <w:t xml:space="preserve"> </w:t>
      </w:r>
    </w:p>
    <w:p w14:paraId="232FAB62" w14:textId="6A485262" w:rsidR="009707D3" w:rsidRPr="00B5028E" w:rsidRDefault="009707D3" w:rsidP="00884011">
      <w:pPr>
        <w:widowControl w:val="0"/>
        <w:spacing w:line="276" w:lineRule="auto"/>
        <w:jc w:val="both"/>
        <w:rPr>
          <w:rFonts w:ascii="PT Sans" w:hAnsi="PT Sans" w:cstheme="majorHAnsi"/>
        </w:rPr>
      </w:pPr>
    </w:p>
    <w:p w14:paraId="34EF22BA" w14:textId="77777777" w:rsidR="009F5895" w:rsidRDefault="0094019A" w:rsidP="009F5895">
      <w:pPr>
        <w:widowControl w:val="0"/>
        <w:spacing w:line="276" w:lineRule="auto"/>
        <w:jc w:val="both"/>
        <w:rPr>
          <w:rFonts w:ascii="PT Sans" w:hAnsi="PT Sans" w:cstheme="majorHAnsi"/>
          <w:b/>
          <w:sz w:val="20"/>
          <w:szCs w:val="20"/>
        </w:rPr>
      </w:pPr>
      <w:r w:rsidRPr="00B5028E">
        <w:rPr>
          <w:rFonts w:ascii="PT Sans" w:hAnsi="PT Sans" w:cstheme="majorHAnsi"/>
          <w:b/>
          <w:sz w:val="20"/>
          <w:szCs w:val="20"/>
        </w:rPr>
        <w:t>Über atacama blooms</w:t>
      </w:r>
    </w:p>
    <w:p w14:paraId="4E6B29AB" w14:textId="6E28BB8E" w:rsidR="009F5895" w:rsidRPr="009F5895" w:rsidRDefault="009F5895" w:rsidP="004375C1">
      <w:pPr>
        <w:widowControl w:val="0"/>
        <w:spacing w:line="276" w:lineRule="auto"/>
        <w:jc w:val="both"/>
        <w:rPr>
          <w:rFonts w:ascii="PT Sans" w:hAnsi="PT Sans" w:cstheme="majorHAnsi"/>
          <w:b/>
          <w:sz w:val="20"/>
          <w:szCs w:val="20"/>
        </w:rPr>
      </w:pPr>
      <w:r w:rsidRPr="009F5895">
        <w:rPr>
          <w:rFonts w:ascii="PT Sans" w:hAnsi="PT Sans" w:cstheme="majorHAnsi"/>
        </w:rPr>
        <w:t xml:space="preserve">atacama blooms, ein junges Unternehmen im Technologiepark Bremen, setzt auf moderne Technologien wie Künstliche Intelligenz und Semantik und vereint Kompetenzen aus Informatik, Gesundheitswissenschaft und -management sowie Linguistik. Damit entwickelt atacama blooms intelligente Lösungen für Leistungserbringer, Kostenträger und Software-Hersteller im </w:t>
      </w:r>
      <w:proofErr w:type="spellStart"/>
      <w:r w:rsidRPr="009F5895">
        <w:rPr>
          <w:rFonts w:ascii="PT Sans" w:hAnsi="PT Sans" w:cstheme="majorHAnsi"/>
        </w:rPr>
        <w:t>eHealth</w:t>
      </w:r>
      <w:proofErr w:type="spellEnd"/>
      <w:r w:rsidRPr="009F5895">
        <w:rPr>
          <w:rFonts w:ascii="PT Sans" w:hAnsi="PT Sans" w:cstheme="majorHAnsi"/>
        </w:rPr>
        <w:t>-Bereich.</w:t>
      </w:r>
      <w:r w:rsidR="004375C1">
        <w:rPr>
          <w:rFonts w:ascii="PT Sans" w:hAnsi="PT Sans" w:cstheme="majorHAnsi"/>
          <w:b/>
          <w:sz w:val="20"/>
          <w:szCs w:val="20"/>
        </w:rPr>
        <w:t xml:space="preserve"> </w:t>
      </w:r>
      <w:r w:rsidRPr="009F5895">
        <w:rPr>
          <w:rFonts w:ascii="PT Sans" w:hAnsi="PT Sans" w:cstheme="majorHAnsi"/>
        </w:rPr>
        <w:t xml:space="preserve">Mit semantischen Technologien unterstützt </w:t>
      </w:r>
      <w:r w:rsidRPr="009F5895">
        <w:rPr>
          <w:rFonts w:ascii="PT Sans" w:hAnsi="PT Sans" w:cstheme="majorHAnsi"/>
          <w:b/>
          <w:bCs/>
        </w:rPr>
        <w:t>Nursing Intelligence</w:t>
      </w:r>
      <w:r w:rsidRPr="009F5895">
        <w:rPr>
          <w:rFonts w:ascii="PT Sans" w:hAnsi="PT Sans" w:cstheme="majorHAnsi"/>
        </w:rPr>
        <w:t xml:space="preserve"> die Pflege im Krankenhaus durch einem Wissensserver zur Dokumentation und Entscheidungsunterstützung. Smarte Tools verbinden Daten mit Kennzahlen zu einfach übersichtlichen Analysen für das Pflegemanagement und -Controlling. Der </w:t>
      </w:r>
      <w:r w:rsidRPr="009F5895">
        <w:rPr>
          <w:rFonts w:ascii="PT Sans" w:hAnsi="PT Sans" w:cstheme="majorHAnsi"/>
          <w:b/>
          <w:bCs/>
        </w:rPr>
        <w:t>AVIDOC</w:t>
      </w:r>
      <w:r w:rsidR="00AE404F">
        <w:rPr>
          <w:rFonts w:ascii="PT Sans" w:hAnsi="PT Sans" w:cstheme="majorHAnsi"/>
          <w:b/>
          <w:bCs/>
        </w:rPr>
        <w:t>®</w:t>
      </w:r>
      <w:r w:rsidRPr="009F5895">
        <w:rPr>
          <w:rFonts w:ascii="PT Sans" w:hAnsi="PT Sans" w:cstheme="majorHAnsi"/>
          <w:b/>
          <w:bCs/>
        </w:rPr>
        <w:t>-R</w:t>
      </w:r>
      <w:r w:rsidRPr="009F5895">
        <w:rPr>
          <w:rFonts w:ascii="PT Sans" w:hAnsi="PT Sans" w:cstheme="majorHAnsi"/>
        </w:rPr>
        <w:t xml:space="preserve"> übernimmt anspruchsvolle Aufgaben in automatisierten Prozessen/Workflows durch intelligente Micro-</w:t>
      </w:r>
      <w:proofErr w:type="spellStart"/>
      <w:r w:rsidRPr="009F5895">
        <w:rPr>
          <w:rFonts w:ascii="PT Sans" w:hAnsi="PT Sans" w:cstheme="majorHAnsi"/>
        </w:rPr>
        <w:t>Functions</w:t>
      </w:r>
      <w:proofErr w:type="spellEnd"/>
      <w:r w:rsidRPr="009F5895">
        <w:rPr>
          <w:rFonts w:ascii="PT Sans" w:hAnsi="PT Sans" w:cstheme="majorHAnsi"/>
        </w:rPr>
        <w:t>, beispielsweise zur Digitalisierung, zur Extraktion von Informationen und zur semantischen Analyse von Dokumenten.</w:t>
      </w:r>
    </w:p>
    <w:p w14:paraId="64729652" w14:textId="77777777" w:rsidR="004375C1" w:rsidRDefault="004375C1" w:rsidP="00B5028E">
      <w:pPr>
        <w:widowControl w:val="0"/>
        <w:spacing w:before="480"/>
        <w:jc w:val="both"/>
        <w:rPr>
          <w:rFonts w:ascii="PT Sans" w:hAnsi="PT Sans" w:cstheme="majorHAnsi"/>
          <w:b/>
        </w:rPr>
      </w:pPr>
    </w:p>
    <w:p w14:paraId="5C221DB8" w14:textId="3831AACF" w:rsidR="0094019A" w:rsidRPr="00B5028E" w:rsidRDefault="0094019A" w:rsidP="00B5028E">
      <w:pPr>
        <w:widowControl w:val="0"/>
        <w:spacing w:before="480"/>
        <w:jc w:val="both"/>
        <w:rPr>
          <w:rFonts w:ascii="PT Sans" w:hAnsi="PT Sans" w:cstheme="majorHAnsi"/>
          <w:b/>
        </w:rPr>
      </w:pPr>
      <w:r w:rsidRPr="00B5028E">
        <w:rPr>
          <w:rFonts w:ascii="PT Sans" w:hAnsi="PT Sans" w:cstheme="majorHAnsi"/>
          <w:b/>
        </w:rPr>
        <w:lastRenderedPageBreak/>
        <w:t>Kontakt:</w:t>
      </w:r>
    </w:p>
    <w:tbl>
      <w:tblPr>
        <w:tblStyle w:val="Tabellenraster"/>
        <w:tblW w:w="0" w:type="auto"/>
        <w:tblLook w:val="04A0" w:firstRow="1" w:lastRow="0" w:firstColumn="1" w:lastColumn="0" w:noHBand="0" w:noVBand="1"/>
      </w:tblPr>
      <w:tblGrid>
        <w:gridCol w:w="4248"/>
        <w:gridCol w:w="4812"/>
      </w:tblGrid>
      <w:tr w:rsidR="00C37182" w:rsidRPr="00B5028E" w14:paraId="3EDDD2F8" w14:textId="77777777" w:rsidTr="00C37182">
        <w:tc>
          <w:tcPr>
            <w:tcW w:w="4248" w:type="dxa"/>
          </w:tcPr>
          <w:p w14:paraId="7028EE5B" w14:textId="1A720E03" w:rsidR="00C37182" w:rsidRPr="00B5028E" w:rsidRDefault="00C37182" w:rsidP="00751E3C">
            <w:pPr>
              <w:widowControl w:val="0"/>
              <w:jc w:val="both"/>
              <w:rPr>
                <w:rFonts w:ascii="PT Sans" w:hAnsi="PT Sans" w:cstheme="majorHAnsi"/>
                <w:bCs/>
                <w:sz w:val="22"/>
                <w:szCs w:val="22"/>
                <w:lang w:val="en-US"/>
              </w:rPr>
            </w:pPr>
            <w:r w:rsidRPr="00B5028E">
              <w:rPr>
                <w:rFonts w:ascii="PT Sans" w:hAnsi="PT Sans" w:cstheme="majorHAnsi"/>
                <w:bCs/>
                <w:sz w:val="22"/>
                <w:szCs w:val="22"/>
                <w:lang w:val="en-US"/>
              </w:rPr>
              <w:t>atacama blooms GmbH &amp; Co. KG</w:t>
            </w:r>
          </w:p>
        </w:tc>
        <w:tc>
          <w:tcPr>
            <w:tcW w:w="4812" w:type="dxa"/>
          </w:tcPr>
          <w:p w14:paraId="6D4D05A1" w14:textId="398A4578" w:rsidR="00C37182" w:rsidRPr="00B5028E" w:rsidRDefault="00C37182" w:rsidP="00751E3C">
            <w:pPr>
              <w:widowControl w:val="0"/>
              <w:jc w:val="both"/>
              <w:rPr>
                <w:rFonts w:ascii="PT Sans" w:hAnsi="PT Sans" w:cstheme="majorHAnsi"/>
                <w:bCs/>
                <w:sz w:val="22"/>
                <w:szCs w:val="22"/>
                <w:lang w:val="en-US"/>
              </w:rPr>
            </w:pPr>
            <w:r w:rsidRPr="00B5028E">
              <w:rPr>
                <w:rFonts w:ascii="PT Sans" w:hAnsi="PT Sans" w:cstheme="majorHAnsi"/>
                <w:bCs/>
                <w:sz w:val="22"/>
                <w:szCs w:val="22"/>
                <w:lang w:val="en-US"/>
              </w:rPr>
              <w:t>atacama Software GmbH</w:t>
            </w:r>
          </w:p>
        </w:tc>
      </w:tr>
      <w:tr w:rsidR="0094019A" w:rsidRPr="00B5028E" w14:paraId="6860FF09" w14:textId="77777777" w:rsidTr="00C37182">
        <w:tc>
          <w:tcPr>
            <w:tcW w:w="4248" w:type="dxa"/>
          </w:tcPr>
          <w:p w14:paraId="7401CB78" w14:textId="5B6480B4" w:rsidR="0094019A" w:rsidRPr="00B5028E" w:rsidRDefault="0094019A" w:rsidP="00751E3C">
            <w:pPr>
              <w:widowControl w:val="0"/>
              <w:jc w:val="both"/>
              <w:rPr>
                <w:rFonts w:ascii="PT Sans" w:hAnsi="PT Sans" w:cstheme="majorHAnsi"/>
                <w:bCs/>
                <w:sz w:val="22"/>
                <w:szCs w:val="22"/>
              </w:rPr>
            </w:pPr>
            <w:r w:rsidRPr="00B5028E">
              <w:rPr>
                <w:rFonts w:ascii="PT Sans" w:hAnsi="PT Sans" w:cstheme="majorHAnsi"/>
                <w:bCs/>
                <w:sz w:val="22"/>
                <w:szCs w:val="22"/>
              </w:rPr>
              <w:t>Herr Dr. Florian Reinartz</w:t>
            </w:r>
          </w:p>
        </w:tc>
        <w:tc>
          <w:tcPr>
            <w:tcW w:w="4812" w:type="dxa"/>
          </w:tcPr>
          <w:p w14:paraId="03E7A2E6" w14:textId="1E230D0E" w:rsidR="0094019A" w:rsidRPr="00B5028E" w:rsidRDefault="0094019A" w:rsidP="00751E3C">
            <w:pPr>
              <w:widowControl w:val="0"/>
              <w:jc w:val="both"/>
              <w:rPr>
                <w:rFonts w:ascii="PT Sans" w:hAnsi="PT Sans" w:cstheme="majorHAnsi"/>
                <w:bCs/>
                <w:sz w:val="22"/>
                <w:szCs w:val="22"/>
              </w:rPr>
            </w:pPr>
            <w:r w:rsidRPr="00B5028E">
              <w:rPr>
                <w:rFonts w:ascii="PT Sans" w:hAnsi="PT Sans" w:cstheme="majorHAnsi"/>
                <w:bCs/>
                <w:sz w:val="22"/>
                <w:szCs w:val="22"/>
              </w:rPr>
              <w:t>Frau Nicole Rüdiger</w:t>
            </w:r>
          </w:p>
        </w:tc>
      </w:tr>
      <w:tr w:rsidR="0094019A" w:rsidRPr="00B5028E" w14:paraId="29BF849D" w14:textId="77777777" w:rsidTr="00C37182">
        <w:trPr>
          <w:trHeight w:val="353"/>
        </w:trPr>
        <w:tc>
          <w:tcPr>
            <w:tcW w:w="4248" w:type="dxa"/>
          </w:tcPr>
          <w:p w14:paraId="6C24DFEC" w14:textId="21B9FA90" w:rsidR="0094019A" w:rsidRPr="00B5028E" w:rsidRDefault="0094019A" w:rsidP="00751E3C">
            <w:pPr>
              <w:widowControl w:val="0"/>
              <w:jc w:val="both"/>
              <w:rPr>
                <w:rFonts w:ascii="PT Sans" w:hAnsi="PT Sans" w:cstheme="majorHAnsi"/>
                <w:bCs/>
                <w:sz w:val="22"/>
                <w:szCs w:val="22"/>
              </w:rPr>
            </w:pPr>
            <w:r w:rsidRPr="00B5028E">
              <w:rPr>
                <w:rFonts w:ascii="PT Sans" w:hAnsi="PT Sans" w:cstheme="majorHAnsi"/>
                <w:bCs/>
                <w:sz w:val="22"/>
                <w:szCs w:val="22"/>
              </w:rPr>
              <w:t xml:space="preserve">Linguistik </w:t>
            </w:r>
            <w:r w:rsidR="00AE404F">
              <w:rPr>
                <w:rFonts w:ascii="PT Sans" w:hAnsi="PT Sans" w:cstheme="majorHAnsi"/>
                <w:bCs/>
                <w:sz w:val="22"/>
                <w:szCs w:val="22"/>
              </w:rPr>
              <w:t>&amp;</w:t>
            </w:r>
            <w:r w:rsidRPr="00B5028E">
              <w:rPr>
                <w:rFonts w:ascii="PT Sans" w:hAnsi="PT Sans" w:cstheme="majorHAnsi"/>
                <w:bCs/>
                <w:sz w:val="22"/>
                <w:szCs w:val="22"/>
              </w:rPr>
              <w:t xml:space="preserve"> Marketing</w:t>
            </w:r>
          </w:p>
        </w:tc>
        <w:tc>
          <w:tcPr>
            <w:tcW w:w="4812" w:type="dxa"/>
          </w:tcPr>
          <w:p w14:paraId="5DAF50E7" w14:textId="06C6DB0D" w:rsidR="0094019A" w:rsidRPr="00B5028E" w:rsidRDefault="00C37182" w:rsidP="00751E3C">
            <w:pPr>
              <w:widowControl w:val="0"/>
              <w:jc w:val="both"/>
              <w:rPr>
                <w:rFonts w:ascii="PT Sans" w:hAnsi="PT Sans" w:cstheme="majorHAnsi"/>
                <w:bCs/>
                <w:sz w:val="22"/>
                <w:szCs w:val="22"/>
              </w:rPr>
            </w:pPr>
            <w:r w:rsidRPr="00B5028E">
              <w:rPr>
                <w:rFonts w:ascii="PT Sans" w:hAnsi="PT Sans" w:cstheme="majorHAnsi"/>
                <w:bCs/>
                <w:sz w:val="22"/>
                <w:szCs w:val="22"/>
              </w:rPr>
              <w:t>Marketing &amp; Unternehmenskommunikation</w:t>
            </w:r>
          </w:p>
        </w:tc>
      </w:tr>
      <w:tr w:rsidR="0094019A" w:rsidRPr="00B5028E" w14:paraId="3B5B49E0" w14:textId="77777777" w:rsidTr="00C37182">
        <w:tc>
          <w:tcPr>
            <w:tcW w:w="4248" w:type="dxa"/>
          </w:tcPr>
          <w:p w14:paraId="334F3495" w14:textId="6E468E3B" w:rsidR="0094019A" w:rsidRPr="00B5028E" w:rsidRDefault="0094019A" w:rsidP="00751E3C">
            <w:pPr>
              <w:widowControl w:val="0"/>
              <w:jc w:val="both"/>
              <w:rPr>
                <w:rFonts w:ascii="PT Sans" w:hAnsi="PT Sans" w:cstheme="majorHAnsi"/>
                <w:bCs/>
                <w:sz w:val="22"/>
                <w:szCs w:val="22"/>
              </w:rPr>
            </w:pPr>
            <w:r w:rsidRPr="00B5028E">
              <w:rPr>
                <w:rFonts w:ascii="PT Sans" w:hAnsi="PT Sans" w:cstheme="majorHAnsi"/>
                <w:bCs/>
                <w:sz w:val="22"/>
                <w:szCs w:val="22"/>
              </w:rPr>
              <w:t>0421 – 365 122 49</w:t>
            </w:r>
          </w:p>
        </w:tc>
        <w:tc>
          <w:tcPr>
            <w:tcW w:w="4812" w:type="dxa"/>
          </w:tcPr>
          <w:p w14:paraId="00A0FECA" w14:textId="7929F1D1" w:rsidR="00C37182" w:rsidRPr="00B5028E" w:rsidRDefault="00C37182" w:rsidP="00751E3C">
            <w:pPr>
              <w:widowControl w:val="0"/>
              <w:jc w:val="both"/>
              <w:rPr>
                <w:rFonts w:ascii="PT Sans" w:hAnsi="PT Sans" w:cstheme="majorHAnsi"/>
                <w:bCs/>
                <w:sz w:val="22"/>
                <w:szCs w:val="22"/>
              </w:rPr>
            </w:pPr>
            <w:r w:rsidRPr="00B5028E">
              <w:rPr>
                <w:rFonts w:ascii="PT Sans" w:hAnsi="PT Sans" w:cstheme="majorHAnsi"/>
                <w:bCs/>
                <w:sz w:val="22"/>
                <w:szCs w:val="22"/>
              </w:rPr>
              <w:t>0421 – 365 122 64</w:t>
            </w:r>
          </w:p>
        </w:tc>
      </w:tr>
      <w:tr w:rsidR="0094019A" w:rsidRPr="00B5028E" w14:paraId="4DEF2FEB" w14:textId="77777777" w:rsidTr="00C37182">
        <w:tc>
          <w:tcPr>
            <w:tcW w:w="4248" w:type="dxa"/>
          </w:tcPr>
          <w:p w14:paraId="382DDC96" w14:textId="3D4DD73A" w:rsidR="0094019A" w:rsidRPr="00B5028E" w:rsidRDefault="0094019A" w:rsidP="00751E3C">
            <w:pPr>
              <w:widowControl w:val="0"/>
              <w:jc w:val="both"/>
              <w:rPr>
                <w:rFonts w:ascii="PT Sans" w:hAnsi="PT Sans" w:cstheme="majorHAnsi"/>
                <w:bCs/>
                <w:sz w:val="22"/>
                <w:szCs w:val="22"/>
              </w:rPr>
            </w:pPr>
            <w:r w:rsidRPr="00B5028E">
              <w:rPr>
                <w:rFonts w:ascii="PT Sans" w:hAnsi="PT Sans" w:cstheme="majorHAnsi"/>
                <w:bCs/>
                <w:sz w:val="22"/>
                <w:szCs w:val="22"/>
              </w:rPr>
              <w:t>florian.reinartz@atacama-blooms.de</w:t>
            </w:r>
          </w:p>
        </w:tc>
        <w:tc>
          <w:tcPr>
            <w:tcW w:w="4812" w:type="dxa"/>
          </w:tcPr>
          <w:p w14:paraId="52742D00" w14:textId="5CA1D0CE" w:rsidR="0094019A" w:rsidRPr="00B5028E" w:rsidRDefault="00C37182" w:rsidP="00751E3C">
            <w:pPr>
              <w:widowControl w:val="0"/>
              <w:jc w:val="both"/>
              <w:rPr>
                <w:rFonts w:ascii="PT Sans" w:hAnsi="PT Sans" w:cstheme="majorHAnsi"/>
                <w:bCs/>
                <w:sz w:val="22"/>
                <w:szCs w:val="22"/>
              </w:rPr>
            </w:pPr>
            <w:r w:rsidRPr="00B5028E">
              <w:rPr>
                <w:rFonts w:ascii="PT Sans" w:hAnsi="PT Sans" w:cstheme="majorHAnsi"/>
                <w:bCs/>
                <w:sz w:val="22"/>
                <w:szCs w:val="22"/>
              </w:rPr>
              <w:t>nicole.ruediger@atacama.de</w:t>
            </w:r>
          </w:p>
        </w:tc>
      </w:tr>
    </w:tbl>
    <w:p w14:paraId="0C0DB584" w14:textId="77777777" w:rsidR="0094019A" w:rsidRPr="00B5028E" w:rsidRDefault="0094019A" w:rsidP="00B5028E">
      <w:pPr>
        <w:widowControl w:val="0"/>
        <w:rPr>
          <w:rFonts w:ascii="PT Sans" w:hAnsi="PT Sans" w:cstheme="majorHAnsi"/>
        </w:rPr>
      </w:pPr>
    </w:p>
    <w:sectPr w:rsidR="0094019A" w:rsidRPr="00B5028E" w:rsidSect="00626F16">
      <w:headerReference w:type="default" r:id="rId11"/>
      <w:headerReference w:type="first" r:id="rId12"/>
      <w:pgSz w:w="11906" w:h="16838" w:code="9"/>
      <w:pgMar w:top="1843"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0D34CE" w14:textId="77777777" w:rsidR="002D47C0" w:rsidRDefault="002D47C0" w:rsidP="00F41604">
      <w:pPr>
        <w:spacing w:after="0" w:line="240" w:lineRule="auto"/>
      </w:pPr>
      <w:r>
        <w:separator/>
      </w:r>
    </w:p>
  </w:endnote>
  <w:endnote w:type="continuationSeparator" w:id="0">
    <w:p w14:paraId="028D655A" w14:textId="77777777" w:rsidR="002D47C0" w:rsidRDefault="002D47C0" w:rsidP="00F41604">
      <w:pPr>
        <w:spacing w:after="0" w:line="240" w:lineRule="auto"/>
      </w:pPr>
      <w:r>
        <w:continuationSeparator/>
      </w:r>
    </w:p>
  </w:endnote>
  <w:endnote w:type="continuationNotice" w:id="1">
    <w:p w14:paraId="1485FB18" w14:textId="77777777" w:rsidR="002D47C0" w:rsidRDefault="002D47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G Mincho Light J">
    <w:altName w:val="Cambria"/>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PT Sans">
    <w:altName w:val="PT Sans"/>
    <w:panose1 w:val="020B0503020203020204"/>
    <w:charset w:val="00"/>
    <w:family w:val="swiss"/>
    <w:pitch w:val="variable"/>
    <w:sig w:usb0="A00002EF" w:usb1="5000204B" w:usb2="0000000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79A349" w14:textId="77777777" w:rsidR="002D47C0" w:rsidRDefault="002D47C0" w:rsidP="00F41604">
      <w:pPr>
        <w:spacing w:after="0" w:line="240" w:lineRule="auto"/>
      </w:pPr>
      <w:r>
        <w:separator/>
      </w:r>
    </w:p>
  </w:footnote>
  <w:footnote w:type="continuationSeparator" w:id="0">
    <w:p w14:paraId="3A758B59" w14:textId="77777777" w:rsidR="002D47C0" w:rsidRDefault="002D47C0" w:rsidP="00F41604">
      <w:pPr>
        <w:spacing w:after="0" w:line="240" w:lineRule="auto"/>
      </w:pPr>
      <w:r>
        <w:continuationSeparator/>
      </w:r>
    </w:p>
  </w:footnote>
  <w:footnote w:type="continuationNotice" w:id="1">
    <w:p w14:paraId="3897888E" w14:textId="77777777" w:rsidR="002D47C0" w:rsidRDefault="002D47C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48F8C" w14:textId="1BC3869A" w:rsidR="00C37182" w:rsidRDefault="00751E3C" w:rsidP="00751E3C">
    <w:pPr>
      <w:tabs>
        <w:tab w:val="left" w:pos="6598"/>
      </w:tabs>
      <w:spacing w:after="0"/>
      <w:rPr>
        <w:color w:val="AEAAAA" w:themeColor="background2" w:themeShade="BF"/>
        <w:sz w:val="40"/>
        <w:szCs w:val="40"/>
      </w:rPr>
    </w:pPr>
    <w:r>
      <w:rPr>
        <w:color w:val="AEAAAA" w:themeColor="background2" w:themeShade="BF"/>
        <w:sz w:val="40"/>
        <w:szCs w:val="40"/>
      </w:rPr>
      <w:tab/>
    </w:r>
  </w:p>
  <w:p w14:paraId="7B501E14" w14:textId="2F9ED66B" w:rsidR="00C37182" w:rsidRDefault="00C37182" w:rsidP="00C37182">
    <w:pPr>
      <w:rPr>
        <w:color w:val="AEAAAA" w:themeColor="background2" w:themeShade="BF"/>
        <w:sz w:val="40"/>
        <w:szCs w:val="40"/>
      </w:rPr>
    </w:pPr>
    <w:r w:rsidRPr="0094019A">
      <w:rPr>
        <w:color w:val="AEAAAA" w:themeColor="background2" w:themeShade="BF"/>
        <w:sz w:val="40"/>
        <w:szCs w:val="40"/>
      </w:rPr>
      <w:t>PRESSEMITTEILUNG</w:t>
    </w:r>
  </w:p>
  <w:p w14:paraId="5792F104" w14:textId="0DED853E" w:rsidR="00F41604" w:rsidRPr="0094019A" w:rsidRDefault="00F41604" w:rsidP="0094019A">
    <w:pPr>
      <w:pStyle w:val="Kopfzeile"/>
      <w:rPr>
        <w:sz w:val="40"/>
        <w:szCs w:val="40"/>
      </w:rPr>
    </w:pPr>
    <w:r w:rsidRPr="0094019A">
      <w:rPr>
        <w:noProof/>
        <w:color w:val="3B3838" w:themeColor="background2" w:themeShade="40"/>
        <w:sz w:val="40"/>
        <w:szCs w:val="40"/>
      </w:rPr>
      <w:drawing>
        <wp:anchor distT="0" distB="0" distL="114300" distR="114300" simplePos="0" relativeHeight="251658240" behindDoc="1" locked="1" layoutInCell="1" allowOverlap="1" wp14:anchorId="04BAA0C8" wp14:editId="1E8E5B99">
          <wp:simplePos x="0" y="0"/>
          <wp:positionH relativeFrom="page">
            <wp:posOffset>11430</wp:posOffset>
          </wp:positionH>
          <wp:positionV relativeFrom="paragraph">
            <wp:posOffset>-1221740</wp:posOffset>
          </wp:positionV>
          <wp:extent cx="7548880" cy="10677525"/>
          <wp:effectExtent l="0" t="0" r="0" b="9525"/>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acama_blooms_Briefpapier_UPDATE_Vorlage_S2.jpg"/>
                  <pic:cNvPicPr/>
                </pic:nvPicPr>
                <pic:blipFill>
                  <a:blip r:embed="rId1">
                    <a:extLst>
                      <a:ext uri="{28A0092B-C50C-407E-A947-70E740481C1C}">
                        <a14:useLocalDpi xmlns:a14="http://schemas.microsoft.com/office/drawing/2010/main" val="0"/>
                      </a:ext>
                    </a:extLst>
                  </a:blip>
                  <a:stretch>
                    <a:fillRect/>
                  </a:stretch>
                </pic:blipFill>
                <pic:spPr>
                  <a:xfrm>
                    <a:off x="0" y="0"/>
                    <a:ext cx="7548880" cy="1067752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BD3D4" w14:textId="7905182C" w:rsidR="00F41604" w:rsidRDefault="0012777C">
    <w:pPr>
      <w:pStyle w:val="Kopfzeile"/>
    </w:pPr>
    <w:r>
      <w:rPr>
        <w:noProof/>
      </w:rPr>
      <w:drawing>
        <wp:anchor distT="0" distB="0" distL="114300" distR="114300" simplePos="0" relativeHeight="251658241" behindDoc="1" locked="0" layoutInCell="1" allowOverlap="1" wp14:anchorId="67AB0282" wp14:editId="30A1EDE5">
          <wp:simplePos x="0" y="0"/>
          <wp:positionH relativeFrom="page">
            <wp:align>right</wp:align>
          </wp:positionH>
          <wp:positionV relativeFrom="paragraph">
            <wp:posOffset>-451485</wp:posOffset>
          </wp:positionV>
          <wp:extent cx="7549513" cy="10677525"/>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9513" cy="106775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6033C"/>
    <w:multiLevelType w:val="hybridMultilevel"/>
    <w:tmpl w:val="A0D825C0"/>
    <w:lvl w:ilvl="0" w:tplc="6E38BAF4">
      <w:numFmt w:val="bullet"/>
      <w:lvlText w:val="-"/>
      <w:lvlJc w:val="left"/>
      <w:pPr>
        <w:ind w:left="405" w:hanging="360"/>
      </w:pPr>
      <w:rPr>
        <w:rFonts w:ascii="Calibri" w:eastAsia="Times New Roman" w:hAnsi="Calibri" w:cs="Times New Roman" w:hint="default"/>
        <w:color w:val="auto"/>
        <w:sz w:val="22"/>
      </w:rPr>
    </w:lvl>
    <w:lvl w:ilvl="1" w:tplc="04070003">
      <w:start w:val="1"/>
      <w:numFmt w:val="bullet"/>
      <w:lvlText w:val="o"/>
      <w:lvlJc w:val="left"/>
      <w:pPr>
        <w:ind w:left="1125" w:hanging="360"/>
      </w:pPr>
      <w:rPr>
        <w:rFonts w:ascii="Courier New" w:hAnsi="Courier New" w:cs="Courier New" w:hint="default"/>
      </w:rPr>
    </w:lvl>
    <w:lvl w:ilvl="2" w:tplc="04070005">
      <w:start w:val="1"/>
      <w:numFmt w:val="bullet"/>
      <w:lvlText w:val=""/>
      <w:lvlJc w:val="left"/>
      <w:pPr>
        <w:ind w:left="1845" w:hanging="360"/>
      </w:pPr>
      <w:rPr>
        <w:rFonts w:ascii="Wingdings" w:hAnsi="Wingdings" w:hint="default"/>
      </w:rPr>
    </w:lvl>
    <w:lvl w:ilvl="3" w:tplc="04070001">
      <w:start w:val="1"/>
      <w:numFmt w:val="bullet"/>
      <w:lvlText w:val=""/>
      <w:lvlJc w:val="left"/>
      <w:pPr>
        <w:ind w:left="2565" w:hanging="360"/>
      </w:pPr>
      <w:rPr>
        <w:rFonts w:ascii="Symbol" w:hAnsi="Symbol" w:hint="default"/>
      </w:rPr>
    </w:lvl>
    <w:lvl w:ilvl="4" w:tplc="04070003">
      <w:start w:val="1"/>
      <w:numFmt w:val="bullet"/>
      <w:lvlText w:val="o"/>
      <w:lvlJc w:val="left"/>
      <w:pPr>
        <w:ind w:left="3285" w:hanging="360"/>
      </w:pPr>
      <w:rPr>
        <w:rFonts w:ascii="Courier New" w:hAnsi="Courier New" w:cs="Courier New" w:hint="default"/>
      </w:rPr>
    </w:lvl>
    <w:lvl w:ilvl="5" w:tplc="04070005">
      <w:start w:val="1"/>
      <w:numFmt w:val="bullet"/>
      <w:lvlText w:val=""/>
      <w:lvlJc w:val="left"/>
      <w:pPr>
        <w:ind w:left="4005" w:hanging="360"/>
      </w:pPr>
      <w:rPr>
        <w:rFonts w:ascii="Wingdings" w:hAnsi="Wingdings" w:hint="default"/>
      </w:rPr>
    </w:lvl>
    <w:lvl w:ilvl="6" w:tplc="04070001">
      <w:start w:val="1"/>
      <w:numFmt w:val="bullet"/>
      <w:lvlText w:val=""/>
      <w:lvlJc w:val="left"/>
      <w:pPr>
        <w:ind w:left="4725" w:hanging="360"/>
      </w:pPr>
      <w:rPr>
        <w:rFonts w:ascii="Symbol" w:hAnsi="Symbol" w:hint="default"/>
      </w:rPr>
    </w:lvl>
    <w:lvl w:ilvl="7" w:tplc="04070003">
      <w:start w:val="1"/>
      <w:numFmt w:val="bullet"/>
      <w:lvlText w:val="o"/>
      <w:lvlJc w:val="left"/>
      <w:pPr>
        <w:ind w:left="5445" w:hanging="360"/>
      </w:pPr>
      <w:rPr>
        <w:rFonts w:ascii="Courier New" w:hAnsi="Courier New" w:cs="Courier New" w:hint="default"/>
      </w:rPr>
    </w:lvl>
    <w:lvl w:ilvl="8" w:tplc="04070005">
      <w:start w:val="1"/>
      <w:numFmt w:val="bullet"/>
      <w:lvlText w:val=""/>
      <w:lvlJc w:val="left"/>
      <w:pPr>
        <w:ind w:left="6165" w:hanging="360"/>
      </w:pPr>
      <w:rPr>
        <w:rFonts w:ascii="Wingdings" w:hAnsi="Wingdings" w:hint="default"/>
      </w:rPr>
    </w:lvl>
  </w:abstractNum>
  <w:num w:numId="1" w16cid:durableId="1722054033">
    <w:abstractNumId w:val="0"/>
  </w:num>
  <w:num w:numId="2" w16cid:durableId="1674453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604"/>
    <w:rsid w:val="0000418A"/>
    <w:rsid w:val="0003742F"/>
    <w:rsid w:val="000B19D1"/>
    <w:rsid w:val="00116EFD"/>
    <w:rsid w:val="0012571E"/>
    <w:rsid w:val="0012777C"/>
    <w:rsid w:val="001A7036"/>
    <w:rsid w:val="001C5E20"/>
    <w:rsid w:val="00215004"/>
    <w:rsid w:val="00217344"/>
    <w:rsid w:val="00243C3F"/>
    <w:rsid w:val="0024453F"/>
    <w:rsid w:val="00286DCA"/>
    <w:rsid w:val="002A44DE"/>
    <w:rsid w:val="002D47C0"/>
    <w:rsid w:val="002E0CF7"/>
    <w:rsid w:val="002E1F71"/>
    <w:rsid w:val="002F11F3"/>
    <w:rsid w:val="00315B06"/>
    <w:rsid w:val="0039762F"/>
    <w:rsid w:val="003D5B71"/>
    <w:rsid w:val="004375C1"/>
    <w:rsid w:val="0048442F"/>
    <w:rsid w:val="004C211D"/>
    <w:rsid w:val="004D0405"/>
    <w:rsid w:val="004F66A0"/>
    <w:rsid w:val="00513707"/>
    <w:rsid w:val="00546174"/>
    <w:rsid w:val="005E68E6"/>
    <w:rsid w:val="00626F16"/>
    <w:rsid w:val="00677366"/>
    <w:rsid w:val="00693988"/>
    <w:rsid w:val="006A0E10"/>
    <w:rsid w:val="006C306F"/>
    <w:rsid w:val="00715EFE"/>
    <w:rsid w:val="00737F4A"/>
    <w:rsid w:val="00751E3C"/>
    <w:rsid w:val="007555C6"/>
    <w:rsid w:val="007A7596"/>
    <w:rsid w:val="00880905"/>
    <w:rsid w:val="00884011"/>
    <w:rsid w:val="00894CE0"/>
    <w:rsid w:val="008A57A1"/>
    <w:rsid w:val="008F1B8C"/>
    <w:rsid w:val="008F5662"/>
    <w:rsid w:val="00906D8A"/>
    <w:rsid w:val="009124E4"/>
    <w:rsid w:val="0094019A"/>
    <w:rsid w:val="009707D3"/>
    <w:rsid w:val="00993FC1"/>
    <w:rsid w:val="009C4722"/>
    <w:rsid w:val="009C68AF"/>
    <w:rsid w:val="009F465C"/>
    <w:rsid w:val="009F5895"/>
    <w:rsid w:val="00A0167A"/>
    <w:rsid w:val="00A0361A"/>
    <w:rsid w:val="00A52F4E"/>
    <w:rsid w:val="00A71800"/>
    <w:rsid w:val="00A71AD2"/>
    <w:rsid w:val="00A97C89"/>
    <w:rsid w:val="00AC2EDC"/>
    <w:rsid w:val="00AE404F"/>
    <w:rsid w:val="00AF1807"/>
    <w:rsid w:val="00AF1F6F"/>
    <w:rsid w:val="00B34828"/>
    <w:rsid w:val="00B4069E"/>
    <w:rsid w:val="00B5028E"/>
    <w:rsid w:val="00B60118"/>
    <w:rsid w:val="00B603B7"/>
    <w:rsid w:val="00B62557"/>
    <w:rsid w:val="00B666A4"/>
    <w:rsid w:val="00B66A55"/>
    <w:rsid w:val="00B7350D"/>
    <w:rsid w:val="00B73A28"/>
    <w:rsid w:val="00B8333C"/>
    <w:rsid w:val="00BD1C9C"/>
    <w:rsid w:val="00C237CC"/>
    <w:rsid w:val="00C36345"/>
    <w:rsid w:val="00C37182"/>
    <w:rsid w:val="00C71FF8"/>
    <w:rsid w:val="00C8514B"/>
    <w:rsid w:val="00CF419A"/>
    <w:rsid w:val="00DA5CE2"/>
    <w:rsid w:val="00DD6CD4"/>
    <w:rsid w:val="00E0059A"/>
    <w:rsid w:val="00E86F8A"/>
    <w:rsid w:val="00EA2E09"/>
    <w:rsid w:val="00EA634A"/>
    <w:rsid w:val="00EF04F0"/>
    <w:rsid w:val="00EF3BA6"/>
    <w:rsid w:val="00F23442"/>
    <w:rsid w:val="00F328C4"/>
    <w:rsid w:val="00F359B1"/>
    <w:rsid w:val="00F41604"/>
    <w:rsid w:val="00F45567"/>
    <w:rsid w:val="00F7055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196763"/>
  <w15:chartTrackingRefBased/>
  <w15:docId w15:val="{40B1D3D0-5F4A-4602-B9C0-463019594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A0E10"/>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4160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41604"/>
  </w:style>
  <w:style w:type="paragraph" w:styleId="Fuzeile">
    <w:name w:val="footer"/>
    <w:basedOn w:val="Standard"/>
    <w:link w:val="FuzeileZchn"/>
    <w:uiPriority w:val="99"/>
    <w:unhideWhenUsed/>
    <w:rsid w:val="00F4160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41604"/>
  </w:style>
  <w:style w:type="paragraph" w:styleId="Sprechblasentext">
    <w:name w:val="Balloon Text"/>
    <w:basedOn w:val="Standard"/>
    <w:link w:val="SprechblasentextZchn"/>
    <w:uiPriority w:val="99"/>
    <w:semiHidden/>
    <w:unhideWhenUsed/>
    <w:rsid w:val="0012777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2777C"/>
    <w:rPr>
      <w:rFonts w:ascii="Segoe UI" w:hAnsi="Segoe UI" w:cs="Segoe UI"/>
      <w:sz w:val="18"/>
      <w:szCs w:val="18"/>
    </w:rPr>
  </w:style>
  <w:style w:type="paragraph" w:styleId="Listenabsatz">
    <w:name w:val="List Paragraph"/>
    <w:basedOn w:val="Standard"/>
    <w:uiPriority w:val="34"/>
    <w:qFormat/>
    <w:rsid w:val="006A0E10"/>
    <w:pPr>
      <w:ind w:left="720"/>
      <w:contextualSpacing/>
    </w:pPr>
  </w:style>
  <w:style w:type="table" w:styleId="Tabellenraster">
    <w:name w:val="Table Grid"/>
    <w:basedOn w:val="NormaleTabelle"/>
    <w:uiPriority w:val="39"/>
    <w:rsid w:val="00A0167A"/>
    <w:pPr>
      <w:spacing w:after="0" w:line="240" w:lineRule="auto"/>
    </w:pPr>
    <w:rPr>
      <w:rFonts w:ascii="Arial" w:eastAsia="HG Mincho Light J" w:hAnsi="Arial" w:cs="Arial Unicode MS"/>
      <w:color w:val="000000"/>
      <w:sz w:val="24"/>
      <w:szCs w:val="24"/>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94019A"/>
    <w:rPr>
      <w:color w:val="0563C1" w:themeColor="hyperlink"/>
      <w:u w:val="single"/>
    </w:rPr>
  </w:style>
  <w:style w:type="character" w:styleId="Kommentarzeichen">
    <w:name w:val="annotation reference"/>
    <w:basedOn w:val="Absatz-Standardschriftart"/>
    <w:uiPriority w:val="99"/>
    <w:semiHidden/>
    <w:unhideWhenUsed/>
    <w:rsid w:val="001C5E20"/>
    <w:rPr>
      <w:sz w:val="16"/>
      <w:szCs w:val="16"/>
    </w:rPr>
  </w:style>
  <w:style w:type="paragraph" w:styleId="Kommentartext">
    <w:name w:val="annotation text"/>
    <w:basedOn w:val="Standard"/>
    <w:link w:val="KommentartextZchn"/>
    <w:uiPriority w:val="99"/>
    <w:semiHidden/>
    <w:unhideWhenUsed/>
    <w:rsid w:val="001C5E20"/>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C5E20"/>
    <w:rPr>
      <w:sz w:val="20"/>
      <w:szCs w:val="20"/>
    </w:rPr>
  </w:style>
  <w:style w:type="paragraph" w:styleId="Kommentarthema">
    <w:name w:val="annotation subject"/>
    <w:basedOn w:val="Kommentartext"/>
    <w:next w:val="Kommentartext"/>
    <w:link w:val="KommentarthemaZchn"/>
    <w:uiPriority w:val="99"/>
    <w:semiHidden/>
    <w:unhideWhenUsed/>
    <w:rsid w:val="001C5E20"/>
    <w:rPr>
      <w:b/>
      <w:bCs/>
    </w:rPr>
  </w:style>
  <w:style w:type="character" w:customStyle="1" w:styleId="KommentarthemaZchn">
    <w:name w:val="Kommentarthema Zchn"/>
    <w:basedOn w:val="KommentartextZchn"/>
    <w:link w:val="Kommentarthema"/>
    <w:uiPriority w:val="99"/>
    <w:semiHidden/>
    <w:rsid w:val="001C5E20"/>
    <w:rPr>
      <w:b/>
      <w:bCs/>
      <w:sz w:val="20"/>
      <w:szCs w:val="20"/>
    </w:rPr>
  </w:style>
  <w:style w:type="character" w:styleId="NichtaufgelsteErwhnung">
    <w:name w:val="Unresolved Mention"/>
    <w:basedOn w:val="Absatz-Standardschriftart"/>
    <w:uiPriority w:val="99"/>
    <w:semiHidden/>
    <w:unhideWhenUsed/>
    <w:rsid w:val="00CF419A"/>
    <w:rPr>
      <w:color w:val="605E5C"/>
      <w:shd w:val="clear" w:color="auto" w:fill="E1DFDD"/>
    </w:rPr>
  </w:style>
  <w:style w:type="paragraph" w:styleId="StandardWeb">
    <w:name w:val="Normal (Web)"/>
    <w:basedOn w:val="Standard"/>
    <w:uiPriority w:val="99"/>
    <w:semiHidden/>
    <w:unhideWhenUsed/>
    <w:rsid w:val="00EF3BA6"/>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BesuchterLink">
    <w:name w:val="FollowedHyperlink"/>
    <w:basedOn w:val="Absatz-Standardschriftart"/>
    <w:uiPriority w:val="99"/>
    <w:semiHidden/>
    <w:unhideWhenUsed/>
    <w:rsid w:val="00A7180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2706010">
      <w:bodyDiv w:val="1"/>
      <w:marLeft w:val="0"/>
      <w:marRight w:val="0"/>
      <w:marTop w:val="0"/>
      <w:marBottom w:val="0"/>
      <w:divBdr>
        <w:top w:val="none" w:sz="0" w:space="0" w:color="auto"/>
        <w:left w:val="none" w:sz="0" w:space="0" w:color="auto"/>
        <w:bottom w:val="none" w:sz="0" w:space="0" w:color="auto"/>
        <w:right w:val="none" w:sz="0" w:space="0" w:color="auto"/>
      </w:divBdr>
      <w:divsChild>
        <w:div w:id="961881273">
          <w:marLeft w:val="0"/>
          <w:marRight w:val="0"/>
          <w:marTop w:val="0"/>
          <w:marBottom w:val="0"/>
          <w:divBdr>
            <w:top w:val="none" w:sz="0" w:space="0" w:color="auto"/>
            <w:left w:val="none" w:sz="0" w:space="0" w:color="auto"/>
            <w:bottom w:val="none" w:sz="0" w:space="0" w:color="auto"/>
            <w:right w:val="none" w:sz="0" w:space="0" w:color="auto"/>
          </w:divBdr>
          <w:divsChild>
            <w:div w:id="1355040294">
              <w:marLeft w:val="0"/>
              <w:marRight w:val="0"/>
              <w:marTop w:val="0"/>
              <w:marBottom w:val="0"/>
              <w:divBdr>
                <w:top w:val="none" w:sz="0" w:space="0" w:color="auto"/>
                <w:left w:val="none" w:sz="0" w:space="0" w:color="auto"/>
                <w:bottom w:val="none" w:sz="0" w:space="0" w:color="auto"/>
                <w:right w:val="none" w:sz="0" w:space="0" w:color="auto"/>
              </w:divBdr>
              <w:divsChild>
                <w:div w:id="182080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683945">
      <w:bodyDiv w:val="1"/>
      <w:marLeft w:val="0"/>
      <w:marRight w:val="0"/>
      <w:marTop w:val="0"/>
      <w:marBottom w:val="0"/>
      <w:divBdr>
        <w:top w:val="none" w:sz="0" w:space="0" w:color="auto"/>
        <w:left w:val="none" w:sz="0" w:space="0" w:color="auto"/>
        <w:bottom w:val="none" w:sz="0" w:space="0" w:color="auto"/>
        <w:right w:val="none" w:sz="0" w:space="0" w:color="auto"/>
      </w:divBdr>
    </w:div>
    <w:div w:id="1709643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ursing-intelligence.d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avidoc-r.de"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DCEE14-6C4A-BF41-AA5C-68E805A04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573</Words>
  <Characters>3613</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Schmidt</dc:creator>
  <cp:keywords/>
  <dc:description/>
  <cp:lastModifiedBy>Nicole Rüdiger</cp:lastModifiedBy>
  <cp:revision>2</cp:revision>
  <dcterms:created xsi:type="dcterms:W3CDTF">2022-06-13T14:26:00Z</dcterms:created>
  <dcterms:modified xsi:type="dcterms:W3CDTF">2022-06-13T14:26:00Z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